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SN-15169 (Sachsen) — In-Kraft-Treten</w:t>
      </w:r>
    </w:p>
    <w:p>
      <w:r>
        <w:rPr>
          <w:color w:val="555555"/>
          <w:sz w:val="18"/>
        </w:rPr>
        <w:t xml:space="preserve">Verordnung des Regierungspräsidiums Leipzig zur Festsetzung des Naturschutzgebietes „Presseler Heidewald- und Moorgebiet“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7 dieser Verordnung in Kraft.</w:t>
      </w:r>
    </w:p>
    <w:p>
      <w:r>
        <w:t xml:space="preserve">(2) Mit In-Kraft-Treten dieser Verordnung tritt der Teil der Festlegungen des Regierungsbevollmächtigten zu Naturschutzgebieten des Verwaltungsbezirkes Leipzig vom 2. Oktober 1990, die das Naturschutzgebiet „Presseler Heidewald- und Moorgebiet“ betreffen, außer Kraft.</w:t>
      </w:r>
    </w:p>
    <w:p>
      <w:r>
        <w:t xml:space="preserve">Leipzig, den 6. März 2000</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rPr>
          <w:color w:val="555555"/>
          <w:sz w:val="17"/>
        </w:rPr>
        <w:t xml:space="preserve">Zitiervorschlag: § 9 SN-15169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