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SN-15167 (Sachsen) — Grundsatz der Pflege und Entwicklung</w:t>
      </w:r>
    </w:p>
    <w:p>
      <w:r>
        <w:rPr>
          <w:color w:val="555555"/>
          <w:sz w:val="18"/>
        </w:rPr>
        <w:t xml:space="preserve">Verordnung des Regierungspräsidiums Chemnitz zur Festsetzung des Naturschutzgebietes „Um den Eibsee“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Zur Erhaltung und Gestaltung der mosaikartigen Struktur einander abwechselnder Offenland- und Gehölzbereiche sind im Naturschutzgebiet Pflege- und Entwicklungsmaßnahmen wie zum Beispiel extensive Beweidung, Mahd und Gehölzrückschnitt notwendig.</w:t>
      </w:r>
    </w:p>
    <w:p>
      <w:r>
        <w:t xml:space="preserve">Einzelheiten dazu werden in einem Pflege- und Entwicklungsplan geregelt.</w:t>
      </w:r>
    </w:p>
    <w:p>
      <w:r>
        <w:t xml:space="preserve">Die aufgeführten Schutz- und Pflegemaßnahmen verpflichten Eigentümer und Nutzungsberechtigte unbeschadet der Regelung in § 15 Abs. 5 SächsNatSchG nicht zur Durchführung der Maßnahmen.</w:t>
      </w:r>
    </w:p>
    <w:p>
      <w:r>
        <w:rPr>
          <w:color w:val="555555"/>
          <w:sz w:val="17"/>
        </w:rPr>
        <w:t xml:space="preserve">Zitiervorschlag: § 6 SN-15167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https://recht.nulegal.eu/gesetze/SN-15167/6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