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SN-15167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ist:</w:t>
      </w:r>
    </w:p>
    <w:p>
      <w:r>
        <w:t xml:space="preserve">1. die Erhaltung und Entwicklung von Biotopen mit ihren Lebensgemeinschaften, insbesondere der Sukzessions-, einschließlich der Ruderalflächen, der Heide und der Gehölzbestände, der temporären Kleingewässer, der binsen- und seggenreichen Nasswiesen sowie der Hochstaudenfluren als Voraussetzung für das Vorkommen bestimmter Tierarten wie Neuntöter und Braunkehlchen und Pflanzenarten wie Borstgras und Sumpfsimse;</w:t>
      </w:r>
    </w:p>
    <w:p>
      <w:r>
        <w:t xml:space="preserve">2. der Schutz der im Gebiet brütenden und rastenden Vogelarten vor Störungen, die den Bruterfolg oder die notwendige Nahrungsaufnahme beeinträchtigen können;</w:t>
      </w:r>
    </w:p>
    <w:p>
      <w:r>
        <w:t xml:space="preserve">3. die Erhaltung einer großflächigen, durch eine Vielzahl verschiedenartiger Biotoptypen und große Artenvielfalt geprägten gehölzdurchsetzten Offenraumlandschaft in ihrer besonderen Eigenart.</w:t>
      </w:r>
    </w:p>
    <w:p>
      <w:r>
        <w:rPr>
          <w:color w:val="555555"/>
          <w:sz w:val="17"/>
        </w:rPr>
        <w:t xml:space="preserve">Zitiervorschlag: § 3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