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SN-15167 (Sachsen) — Schutzgegenstand</w:t>
      </w:r>
    </w:p>
    <w:p>
      <w:r>
        <w:rPr>
          <w:color w:val="555555"/>
          <w:sz w:val="18"/>
        </w:rPr>
        <w:t xml:space="preserve">Verordnung des Regierungspräsidiums Chemnitz zur Festsetzung des Naturschutzgebietes „Um den Eibsee“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Naturschutzgebiet hat eine Größe von zirka 39 ha.</w:t>
      </w:r>
    </w:p>
    <w:p>
      <w:r>
        <w:t xml:space="preserve">(2) Das Schutzgebiet umfasst nach dem Stand der Flurkartengrundlage auf dem Gebiet der Stadt Chemnitz,</w:t>
      </w:r>
    </w:p>
    <w:p>
      <w:r>
        <w:t xml:space="preserve">Gemarkung Adelsberg, die Flurstücke mit den Nummern 1713 (teilweise), 1715 (teilweise), 1716 (teilweise), 1718 (teilweise), 1720, 1721, 1722, 1723, 1724, 1725, 1726 (teilweise) und</w:t>
      </w:r>
    </w:p>
    <w:p>
      <w:r>
        <w:t xml:space="preserve">Gemarkung Euba, die Flurstücke mit den Nummern 613/2 (teilweise), 617 (teilweise), 618, 619 (teilweise), 620, 631 (teilweise), 631a, 631b, 631c, 631d, 631e, 631f.</w:t>
      </w:r>
    </w:p>
    <w:p>
      <w:r>
        <w:t xml:space="preserve">(3) Die Grenzen des Schutzgebietes sind in einer Übersichtskarte des Regierungspräsidiums Chemnitz vom 12. Januar 2000 im Maßstab 1:10 000 und in einer Flurkarte des Regierungspräsidiums Chemnitz vom 12. Januar 2000 im Maßstab 1:2730 als rote Linien eingetragen.</w:t>
      </w:r>
    </w:p>
    <w:p>
      <w:r>
        <w:t xml:space="preserve">Für die genaue Bestimmung des räumlichen Geltungsbereichs dieser Verordnung ist die Flurkarte maßgebend. Soweit sich die rote Grenzlinie mit Flurstücksgrenzen deckt, bildet die jeweilige Flurstücksgrenze die Schutzgebietsgrenze; ansonsten bestimmt die Linienaußenkante die Schutzgebietsgrenze. Die Karten sind Bestandteil dieser Verordnung.</w:t>
      </w:r>
    </w:p>
    <w:p>
      <w:r>
        <w:rPr>
          <w:color w:val="555555"/>
          <w:sz w:val="17"/>
        </w:rPr>
        <w:t xml:space="preserve">Zitiervorschlag: § 2 SN-15167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