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SN-15165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„Frauenteich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</w:t>
      </w:r>
    </w:p>
    <w:p>
      <w:r>
        <w:t xml:space="preserve">1. die Entwicklung des Frauen- und des Schösserteiches zu einem artenreichen Gewässer durch Reduzierung des Nährstoffniveaus;</w:t>
      </w:r>
    </w:p>
    <w:p>
      <w:r>
        <w:t xml:space="preserve">2. die Durchführung von Pflegeeingriffen auf Teilflächen mit fortgeschrittener Sukzession;</w:t>
      </w:r>
    </w:p>
    <w:p>
      <w:r>
        <w:t xml:space="preserve">3. die Umwandlung der Forste in naturnahe, standortheimische Waldgesellschaften mit großem Totholz- und Höhlendargebot;</w:t>
      </w:r>
    </w:p>
    <w:p>
      <w:r>
        <w:t xml:space="preserve">4. die Extensivierung der wirtschaftlichen Nutzung des Feuchtgrünlandes;</w:t>
      </w:r>
    </w:p>
    <w:p>
      <w:r>
        <w:t xml:space="preserve">5. die Förderung von Ackerwildkräutern durch geeignete Maßnahmen sowie</w:t>
      </w:r>
    </w:p>
    <w:p>
      <w:r>
        <w:t xml:space="preserve">6. die Lenkung der Besucher.</w:t>
      </w:r>
    </w:p>
    <w:p>
      <w:r>
        <w:t xml:space="preserve">(2) Die erforderlichen Pflege- und Entwicklungsmaßnahmen können in einem Pflege- und Entwicklungsplan festgelegt werden. Auf die §§ 15 Abs. 5, 38 und 39 SächsNatSchG wird verwiesen.</w:t>
      </w:r>
    </w:p>
    <w:p>
      <w:r>
        <w:rPr>
          <w:color w:val="555555"/>
          <w:sz w:val="17"/>
        </w:rPr>
        <w:t xml:space="preserve">Zitiervorschlag: § 6 SN-15165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