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SN-15165 (Sachsen) — Schutzzweck</w:t>
      </w:r>
    </w:p>
    <w:p>
      <w:r>
        <w:rPr>
          <w:color w:val="555555"/>
          <w:sz w:val="18"/>
        </w:rPr>
        <w:t xml:space="preserve">Verordnung des Regierungspräsidiums Dresden zur Festsetzung des Naturschutzgebietes „Frauenteich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Schutzzweck ist die nachhaltige Erhaltung und störungsarme Entwicklung eines komplexen Teichökosystems mit angrenzenden Agrar- und Waldflächen als repräsentativen Kulturlandschaftsausschnitt des Moritzburger Kuppen- und Teichgebietes und regionaltypische Lebensstätte für besonders geschützte, besonders gefährdete und besonders empfindliche Tier- und Pflanzenarten.</w:t>
      </w:r>
    </w:p>
    <w:p>
      <w:r>
        <w:t xml:space="preserve">(2) Schutzzweck ist insbesondere</w:t>
      </w:r>
    </w:p>
    <w:p>
      <w:r>
        <w:t xml:space="preserve">1. die Erhaltung und Entwicklung eines für das Moritzburger Kuppen- und Teichgebiet einmaligen Refugial- und Reproduktionsgebietes für Pflanzen und Tiere naturnah bewirtschafteter Teiche und Feuchtgebiete;</w:t>
      </w:r>
    </w:p>
    <w:p>
      <w:r>
        <w:t xml:space="preserve">2. die störungsarme Erhaltung und Entwicklung eines überregional bedeutsamen Brut-, Nahrungs-, Rast- und Mausergebietes seltener und vom Aussterben bedrohter Wasservögel;</w:t>
      </w:r>
    </w:p>
    <w:p>
      <w:r>
        <w:t xml:space="preserve">3. die Erhaltung und Entwicklung eines bedeutenden Jahreslebensraumes für Lurche und Kriechtiere;</w:t>
      </w:r>
    </w:p>
    <w:p>
      <w:r>
        <w:t xml:space="preserve">4. die Förderung der Wildfischfauna, insbesondere von Karausche, Moderlieschen, Schlammpeitzger und Dreistachligem Stichling sowie in Gräben auch von Gründling;</w:t>
      </w:r>
    </w:p>
    <w:p>
      <w:r>
        <w:t xml:space="preserve">5. die Erhaltung und pflegliche Nutzung von gewässernahen Feuchtwiesen als Lebensraum für seltene und gefährdete Tierarten, insbesondere für Orchideen und wiesenbesiedelnde Vogelarten;</w:t>
      </w:r>
    </w:p>
    <w:p>
      <w:r>
        <w:t xml:space="preserve">6. die Erhaltung und Entwicklung naturnaher Wälder mit hohem Anteil an Alt- und Totholz sowie Höhlenbäumen als störungsarme Lebensstätten von Tierarten mit hohen Schutzansprüchen;</w:t>
      </w:r>
    </w:p>
    <w:p>
      <w:r>
        <w:t xml:space="preserve">7. die Bewahrung eines Ökosystems mit möglichst vollständigen Biozönosen und Nahrungsketten;</w:t>
      </w:r>
    </w:p>
    <w:p>
      <w:r>
        <w:t xml:space="preserve">8. die Bewahrung eines seit Anfang des 19. Jahrhunderts dokumentierten, wissenschaftlich und wissenschaftsgeschichtlich bedeutsamen faunistisch-floristischen Langzeitbeobachtungs- und Studiengebietes;</w:t>
      </w:r>
    </w:p>
    <w:p>
      <w:r>
        <w:t xml:space="preserve">9. die Erhaltung von Fischteichen, Dämmen, Gräben, Grenzsteinen, Heidewegen und der Trockenmauer als historische Zeugnisse früherer Kulturlandschaft;</w:t>
      </w:r>
    </w:p>
    <w:p>
      <w:r>
        <w:t xml:space="preserve">10. die Erhaltung und Entwicklung eines unbeeinträchtigten Kulturlandschaftsbildes, das durch den kleinflächigen Wechsel von stehenden und fließenden Gewässern, von Wald und Feldgehölzen, Kuppen und Hohlformen sowie Trocken- und Feuchtstandorten von besonderer Eigenart und hervorragender Schönheit ist;</w:t>
      </w:r>
    </w:p>
    <w:p>
      <w:r>
        <w:t xml:space="preserve">11. die Förderung der Umweltbildung, insbesondere durch störungsarme Naturbeobachtung.</w:t>
      </w:r>
    </w:p>
    <w:p>
      <w:r>
        <w:rPr>
          <w:color w:val="555555"/>
          <w:sz w:val="17"/>
        </w:rPr>
        <w:t xml:space="preserve">Zitiervorschlag: § 3 SN-15165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