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SN-15165 (Sachsen) — Schutzgegenstand</w:t>
      </w:r>
    </w:p>
    <w:p>
      <w:r>
        <w:rPr>
          <w:color w:val="555555"/>
          <w:sz w:val="18"/>
        </w:rPr>
        <w:t xml:space="preserve">Verordnung des Regierungspräsidiums Dresden zur Festsetzung des Naturschutzgebietes „Frauenteich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202 ha.</w:t>
      </w:r>
    </w:p>
    <w:p>
      <w:r>
        <w:t xml:space="preserve">(2) Das Schutzgebiet umfasst nach dem Stand der Flurkarten auf dem Gebiet</w:t>
      </w:r>
    </w:p>
    <w:p>
      <w:r>
        <w:t xml:space="preserve">1. der Gemeinde Moritzburg, Gemarkung Moritzburg, die Flurstücke 47 (teilweise), 48, 49, 50, 51, 52, 380, 381a (teilweise), 381b, 381d, 381e, 381g;</w:t>
      </w:r>
    </w:p>
    <w:p>
      <w:r>
        <w:t xml:space="preserve">2. der Stadt Radeburg, Gemarkung Berbisdorf, die Flurstücke 335, 335a, 336a, 336c, 336e, 336/2, 336/4, 337a, 337/1, 338, 339, 347, 347a, 347b, 347c, 347d, 347e, 405, 406, 412, 417, 417b, 418, 418a;</w:t>
      </w:r>
    </w:p>
    <w:p>
      <w:r>
        <w:t xml:space="preserve">3. der Stadt Radeburg, Gemarkung Bärwalde, die Flurstücke 234 (teilweise), 236 (teilweise), 237 (teilweise), 238 (teilweise), 239 (teilweise), 240 (teilweise), 241 (teilweise),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315, 316, 326 (teilweise), 327, 328, 331, 332 (teilweise), 333 (teilweise), 336 (teilweise), 337 (teilweise), 342 (teilweise), 345 (teilweise), 346 (teilweise), 348/1 (teilweise), 349 (teilweise), 352 (teilweise).</w:t>
      </w:r>
    </w:p>
    <w:p>
      <w:r>
        <w:t xml:space="preserve">(3) Die Grenzen des Schutzgebietes sind in einer Übersichtskarte des Regierungspräsidiums Dresden vom 15. Dezember 1999 im Maßstab 1 : 10 000 und in fünf Flurkarten des Regierungspräsidiums Dresden vom 15. Dezember 1999 im Maßstab 1:2 000 und 1:5 000 eingetragen. Maßgebend für den Grenzverlauf ist die Linienaußenkante der Grenzeintragungen in den Flurkarten. Im Süden wird das Naturschutzgebiet maßgeblich durch den Neubauernweg begrenzt, der selbst nicht Bestandteil des Gebietes ist. Die Karten sind Bestandteil der Verordnung. Die Verordnung wird zusammen mit der Übersichtskarte im Sächsischen Amtsblatt verkündet und ist mit Karten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