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SN-15163 (Sachsen) — In-Kraft-Treten</w:t>
      </w:r>
    </w:p>
    <w:p>
      <w:r>
        <w:rPr>
          <w:color w:val="555555"/>
          <w:sz w:val="18"/>
        </w:rPr>
        <w:t xml:space="preserve">Verordnung des Regierungspräsidiums Leipzig zur Festsetzung des Naturschutzgebietes „Rückhaltebecken Stöhna“</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 Verordnung tritt am Tage nach Ablauf der Auslegungsfrist gemäß § 2 Abs. 4 in Kraft.</w:t>
      </w:r>
    </w:p>
    <w:p>
      <w:r>
        <w:t xml:space="preserve">(2) Mit In-Kraft-Treten dieser Verordnung tritt die Verordnung des Regierungspräsidiums Leipzig zur einstweiligen Sicherstellung des Naturschutzgebietes Rückhaltebecken Stöhna vom 30. Januar 1997 (SächABl. S. 251) außer Kraft.</w:t>
      </w:r>
    </w:p>
    <w:p>
      <w:r>
        <w:t xml:space="preserve">Leipzig, den 3. Dezember 1999</w:t>
      </w:r>
    </w:p>
    <w:p>
      <w:r>
        <w:t xml:space="preserve">Regierungspräsidium Leipzig</w:t>
      </w:r>
    </w:p>
    <w:p>
      <w:r>
        <w:t xml:space="preserve">Steinbach</w:t>
      </w:r>
    </w:p>
    <w:p>
      <w:r>
        <w:t xml:space="preserve">Regierungspräsident</w:t>
      </w:r>
    </w:p>
    <w:p>
      <w:r>
        <w:t xml:space="preserve">Verkündigungshinweis:</w:t>
      </w:r>
    </w:p>
    <w:p>
      <w:r>
        <w:t xml:space="preserve">Gemäß § 51 Abs. 10 SächsNatSchG ist eine Verletzung der Verfahrensvorschriften unbeachtlich, wenn sie nicht innerhalb eines Jahres nach Verkündigung der Rechtsverordnung schriftlich unter Angabe des Sachverhaltes, der die Verletzung begründen soll, bei der höheren Naturschutzbehörde, die die Rechtsverordnung erlassen hat, geltend gemacht wird.</w:t>
      </w:r>
    </w:p>
    <w:p>
      <w:r>
        <w:t xml:space="preserve">Übersichtskarte</w:t>
      </w:r>
    </w:p>
    <w:p>
      <w:r>
        <w:rPr>
          <w:color w:val="555555"/>
          <w:sz w:val="17"/>
        </w:rPr>
        <w:t xml:space="preserve">Zitiervorschlag: § 9 SN-15163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https://recht.nulegal.eu/gesetze/SN-15163/9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