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SN-15163 (Sachsen) — Verbote</w:t>
      </w:r>
    </w:p>
    <w:p>
      <w:r>
        <w:rPr>
          <w:color w:val="555555"/>
          <w:sz w:val="18"/>
        </w:rPr>
        <w:t xml:space="preserve">Verordnung des Regierungspräsidiums Leipzig zur Festsetzung des Naturschutzgebietes „Rückhaltebecken Stöhna“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Naturschutzgebiet sind alle Handlungen verboten, die zu einer Zerstörung, Beschädigung oder Veränderung des Schutzgebietes oder seiner Bestandteile oder zu einer nachhaltigen Störung führen können.</w:t>
      </w:r>
    </w:p>
    <w:p>
      <w:r>
        <w:t xml:space="preserve">(2) Insbesondere ist verboten:</w:t>
      </w:r>
    </w:p>
    <w:p>
      <w:r>
        <w:t xml:space="preserve">1. bauliche Anlagen im Sinne der Sächsischen Bauordnung zu errichten, zu ändern, abzubrechen oder der Errichtung gleichgestellte Maßnahmen durchzuführen;</w:t>
      </w:r>
    </w:p>
    <w:p>
      <w:r>
        <w:t xml:space="preserve">2. Straßen, Wege, Plätze oder sonstige Verkehrsanlagen anzulegen, Leitungen ober- oder unterirdisch zu verlegen oder Anlagen dieser Art zu verändern;</w:t>
      </w:r>
    </w:p>
    <w:p>
      <w:r>
        <w:t xml:space="preserve">3. Abfälle oder sonstige Materialien zu lagern oder abzulagern;</w:t>
      </w:r>
    </w:p>
    <w:p>
      <w:r>
        <w:t xml:space="preserve">4. Stoffe, Mittel oder Chemikalien einzubringen, anzuwenden oder zu lagern;</w:t>
      </w:r>
    </w:p>
    <w:p>
      <w:r>
        <w:t xml:space="preserve">5. die bisherige Grundstücksnutzung in einer Art zu ändern, welche dem Schutzzweck zuwiderläuft;</w:t>
      </w:r>
    </w:p>
    <w:p>
      <w:r>
        <w:t xml:space="preserve">6. Grünland in Acker- oder Grabeland umzuwandeln oder aufzuforsten;</w:t>
      </w:r>
    </w:p>
    <w:p>
      <w:r>
        <w:t xml:space="preserve">7. das Gewässer zu verunreinigen sowie Feuchtgebiete, insbesondere Feuchtwiesen und Röhrichte, zu schädigen, umzuwandeln oder zu beseitigen;</w:t>
      </w:r>
    </w:p>
    <w:p>
      <w:r>
        <w:t xml:space="preserve">8. sonstige Landschaftsbestandteile wie Gebüsche, Ufergehölze und Saumstrukturen ganz oder teilweise zu beseitigen oder zu beschädigen oder auf andere Weise in ihrem Wachstum und in ihrer Entwicklung zu stören;</w:t>
      </w:r>
    </w:p>
    <w:p>
      <w:r>
        <w:t xml:space="preserve">9. Pflanzen oder Pflanzenteile einzubringen, zu entnehmen, zu beschädigen oder zu zerstören;</w:t>
      </w:r>
    </w:p>
    <w:p>
      <w:r>
        <w:t xml:space="preserve">10. Tiere einzubringen, wildlebenden Tieren nachzustellen, sie zu beunruhigen, zu fangen, zu verletzen oder zu töten oder Entwicklungsstadien oder Nester oder sonstige Brut-, Wohn- oder Zufluchtsstätten dieser Tiere zu entfernen, zu beschädigen oder zu zerstören;</w:t>
      </w:r>
    </w:p>
    <w:p>
      <w:r>
        <w:t xml:space="preserve">11. die Böschungen beziehungsweise das Becken zu betreten;</w:t>
      </w:r>
    </w:p>
    <w:p>
      <w:r>
        <w:t xml:space="preserve">12. Lärm, Erschütterungen oder Luftverunreinigungen zu verursachen oder Lichtquellen zu betreiben, die geeignet sind, Tiere zu beunruhigen und den Naturgenuss zu beeinträchtigen;</w:t>
      </w:r>
    </w:p>
    <w:p>
      <w:r>
        <w:t xml:space="preserve">13. Hunde frei laufen zu lassen;</w:t>
      </w:r>
    </w:p>
    <w:p>
      <w:r>
        <w:t xml:space="preserve">14. Plakate, Schilder, Bild- oder Schrifttafeln oder sonstige Werbeanlagen oder Markierungszeichen aufzustellen oder anzubringen;</w:t>
      </w:r>
    </w:p>
    <w:p>
      <w:r>
        <w:t xml:space="preserve">15. Veranstaltungen jedweder Art durchzuführen;</w:t>
      </w:r>
    </w:p>
    <w:p>
      <w:r>
        <w:t xml:space="preserve">16. jede Art von Wasser-, Motor-, Geländelauf-, Geländerad- oder Flugsport einschließlich Modellflugsport zu betreiben;</w:t>
      </w:r>
    </w:p>
    <w:p>
      <w:r>
        <w:t xml:space="preserve">17. im Schutzgebiet mit Luftfahrzeugen im Sinne des § 1 Abs. 2 des Luftverkehrsgesetzes ( LuftVG) in der jeweils geltenden Fassung zu starten oder zu landen außer in den Fällen des § 25 Abs. 2 LuftVG . Rechtsbereinigt mit Stand vom 9. Mai 2007</w:t>
      </w:r>
    </w:p>
    <w:p>
      <w:r>
        <w:rPr>
          <w:color w:val="555555"/>
          <w:sz w:val="17"/>
        </w:rPr>
        <w:t xml:space="preserve">Zitiervorschlag: § 4 SN-15163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