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SN-15152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nachhaltige Bewahrung und naturschutzgerechte Entwicklung eines seltenen, wissenschaftlich und landeskundlich bedeutsamen Komplexes wertvoller und empfindlicher Biotope, der für den Biotop- und Artenschutz eine überregionale Bedeutung aufweist.</w:t>
      </w:r>
    </w:p>
    <w:p>
      <w:r>
        <w:t xml:space="preserve">(2) Schutzzweck ist insbesondere</w:t>
      </w:r>
    </w:p>
    <w:p>
      <w:r>
        <w:t xml:space="preserve">1. die Erhaltung und nachhaltige Sicherung des für den Freistaat Sachsen einzigartigen und pflanzensoziologisch wertvollen elsbeerenreichen Waldlabkraut-Hainbuchen-Eichenwaldes;</w:t>
      </w:r>
    </w:p>
    <w:p>
      <w:r>
        <w:t xml:space="preserve">2. die Bewahrung und ökologische Entwicklung der im Biotopkomplex vorhandenen seltenen und geschützten Pflanzen- und Tierarten sowie deren Lebensgemeinschaften;</w:t>
      </w:r>
    </w:p>
    <w:p>
      <w:r>
        <w:t xml:space="preserve">3. die Erhaltung und Entwicklung der für den Bestand dieser seltenen Pflanzen- und Tiergemeinschaften notwendigen Lebensräume, insbesondere Laubwaldbereiche, Halbtrockenrasen und Kalkäcker;</w:t>
      </w:r>
    </w:p>
    <w:p>
      <w:r>
        <w:t xml:space="preserve">4. die Erhaltung und Entwicklung seltener Ackerwildkräuter, insbesondere auf Extensiv-Äckern im Saumbereich des Naturschutzgebietes;</w:t>
      </w:r>
    </w:p>
    <w:p>
      <w:r>
        <w:t xml:space="preserve">5. die Entwicklung artenreicher Streuobstwiesen mit einem hohen Höhlen- und Totholzangebot;</w:t>
      </w:r>
    </w:p>
    <w:p>
      <w:r>
        <w:t xml:space="preserve">6. die Erhaltung eines regional bedeutsamen Trittsteines im Biotopverbund zwischen Friedewald und Meißener Elbhügelland.</w:t>
      </w:r>
    </w:p>
    <w:p>
      <w:r>
        <w:rPr>
          <w:color w:val="555555"/>
          <w:sz w:val="17"/>
        </w:rPr>
        <w:t xml:space="preserve">Zitiervorschlag: § 3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