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SN-15151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„Landeskrone“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 und 50 Abs. 1 Nr. 2 des Sächsischen Gesetzes über Naturschutz und Landschaftspflege (Sächsisches Naturschutzgesetz – SächsNatSchG ) in der Fassung der Bekanntmachung vom 11. Oktober 1994 (SächsGVBl. S. 1601, ber. 1995 S. 106), geändert durch Artikel 3 des Gesetzes vom 18. März 1999 (SächsGVBl. S. 85, 115), und § 32 Abs. 1 Sächsisches Landesjagdgesetz ( SächsLJagdG ) vom 8. Mai 1991 (SächsGVBl. S. 67), zuletzt geändert durch Artikel 12 des Gesetzes vom 4. Juli 1994 (SächsGVBl. S. 1261),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SN-15151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