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SN-15151 (Sachsen) — In-Kraft-Treten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„Landeskrone“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dieser Verordnung in Kraft. Gleichzeitig tritt die Anordnung Nr. 1 über Naturschutzgebiete vom 30. März 1961 des Ministers für Landwirtschaft, Erfassung und Forstwirtschaft (Gbl. II S. 166), soweit sie das Naturschutzgebiet „Landeskrone“ betrifft, außer Kraft.</w:t>
      </w:r>
    </w:p>
    <w:p>
      <w:r>
        <w:t xml:space="preserve">Dresden, den 23. August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