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SN-15151 (Sachsen) — Schutzzweck</w:t>
      </w:r>
    </w:p>
    <w:p>
      <w:r>
        <w:rPr>
          <w:color w:val="555555"/>
          <w:sz w:val="18"/>
        </w:rPr>
        <w:t xml:space="preserve">Verordnung des Regierungspräsidiums Dresden zur Festsetzung des Naturschutzgebietes „Landeskrone“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Schutzzweck ist</w:t>
      </w:r>
    </w:p>
    <w:p>
      <w:r>
        <w:t xml:space="preserve">1. die Erhaltung, Pflege und Wiederherstellung der artenreichen Edellaubholzgesellschaften in verschiedenen standörtlich und expositionsbedingten Ausbildungsformen sowie der trockenen Gebüsche, Felsfluren und Halbtrockenrasen;</w:t>
      </w:r>
    </w:p>
    <w:p>
      <w:r>
        <w:t xml:space="preserve">2. die Erhaltung und Pflege gebietstypischer Pflanzen- und Tierarten in ihren Lebensgemeinschaften, insbesondere der Pflanzenarten des Basaltkegels, die mit dem Spitzahorn-Linden-Blockhaldenwald (Aceri-Tilietum) Pflanzengesellschaften der potentiellen natürlichen Vegetation bilden, der artenreichen Pilzflora, der Insekten-, Weichtier- und Wirbeltierfauna;</w:t>
      </w:r>
    </w:p>
    <w:p>
      <w:r>
        <w:t xml:space="preserve">3. die Erhaltung weitgehend unbeeinträchtigter Gebiete aus wissenschaftlichen, naturgeschichtlichen und landeskundlichen Gründen, insbesondere für die Ökosystemforschung;</w:t>
      </w:r>
    </w:p>
    <w:p>
      <w:r>
        <w:t xml:space="preserve">4. die Erhaltung der Landeskrone als landschaftsprägender Basaltberg in seiner besonderen Eigenart, Seltenheit und Schönheit.</w:t>
      </w:r>
    </w:p>
    <w:p>
      <w:r>
        <w:rPr>
          <w:color w:val="555555"/>
          <w:sz w:val="17"/>
        </w:rPr>
        <w:t xml:space="preserve">Zitiervorschlag: § 3 SN-15151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https://recht.nulegal.eu/gesetze/SN-15151/3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