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SN-15150 (Sachsen) — Schutzgegenstand</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84 ha.</w:t>
      </w:r>
    </w:p>
    <w:p>
      <w:r>
        <w:t xml:space="preserve">(2) Das Schutzgebiet umfasst nach dem Stand vom 26. Januar 1999 auf dem Gebiet</w:t>
      </w:r>
    </w:p>
    <w:p>
      <w:r>
        <w:t xml:space="preserve">1. der Gemeinde Laußnitz, Gemarkung Laußnitz die Flurstücke 1356, 1358, 1360, 1362, 1363 (teilweise), 1369 (teilweise), 1371 (teilweise), 1373 (teilweise);</w:t>
      </w:r>
    </w:p>
    <w:p>
      <w:r>
        <w:t xml:space="preserve">2. der Gemeinde Großdittmannsdorf, Gemarkung Großdittmannsdorf die Flurstücke 242, 244, 245 (teilweise), 246 (teilweise).</w:t>
      </w:r>
    </w:p>
    <w:p>
      <w:r>
        <w:t xml:space="preserve">(3) Die Grenzen des Schutzgebietes sind in einer Übersichtskarte des Regierungspräsidiums Dresden vom 15. Juli 1999 im Maßstab 1 : 10 000 und in einer Flurkarte des Regierungspräsidiums Dresden vom 15. Juli 1999 im Maßstab 1 : 5 000 rot eingetragen. Maßgebend für den Grenzverlauf ist die Linienaußenkante der Grenzeintragungen in der Flurkarte. Im Südosten wird das Naturschutzgebiet durch den Diebsteig begrenzt, der selbst Bestandteil des Naturschutzgebietes ist.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in 01099 Dresden, Stauffenbergallee 2, zur kostenlosen Einsicht durch jedermann während der Sprechzeiten niedergelegt.</w:t>
      </w:r>
    </w:p>
    <w:p>
      <w:r>
        <w:rPr>
          <w:color w:val="555555"/>
          <w:sz w:val="17"/>
        </w:rPr>
        <w:t xml:space="preserve">Zitiervorschlag: § 2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