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SN-15150 (Sachsen) — Festsetzung als Schutzgebiet</w:t>
      </w:r>
    </w:p>
    <w:p>
      <w:r>
        <w:rPr>
          <w:color w:val="555555"/>
          <w:sz w:val="18"/>
        </w:rPr>
        <w:t xml:space="preserve">Verordnung des Regierungspräsidiums Dresden zur Festsetzung des Naturschutzgebietes „Moorwald am Pechfluss bei Medingen“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Gemeinde Laußnitz im Landkreis Kamenz und der Gemeinde Großdittmannsdorf im Landkreis Meißen werden als Naturschutzgebiet festgesetzt. Das Naturschutzgebiet führt die Bezeichnung „Moorwald am Pechfluss bei Medingen“.</w:t>
      </w:r>
    </w:p>
    <w:p>
      <w:r>
        <w:rPr>
          <w:color w:val="555555"/>
          <w:sz w:val="17"/>
        </w:rPr>
        <w:t xml:space="preserve">Zitiervorschlag: § 1 SN-15150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