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SN-15149 (Sachsen) — In-Kraft-Treten</w:t>
      </w:r>
    </w:p>
    <w:p>
      <w:r>
        <w:rPr>
          <w:color w:val="555555"/>
          <w:sz w:val="18"/>
        </w:rPr>
        <w:t xml:space="preserve">Verordnung des Regierungspräsidiums Chemnitz zur Festsetzung des Naturschutzgebietes „Syrau-Kauschwitzer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4 in Kraft.</w:t>
      </w:r>
    </w:p>
    <w:p>
      <w:r>
        <w:t xml:space="preserve">Chemnitz, den 16. Juli 1999</w:t>
      </w:r>
    </w:p>
    <w:p>
      <w:r>
        <w:t xml:space="preserve">Regierungspräsidium Chemnitz</w:t>
      </w:r>
    </w:p>
    <w:p>
      <w:r>
        <w:t xml:space="preserve">Brüggen</w:t>
      </w:r>
    </w:p>
    <w:p>
      <w:r>
        <w:t xml:space="preserve">Regierungspräsident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§ 9 SN-15149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https://recht.nulegal.eu/gesetze/SN-15149/9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