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SN-15149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Naturschutzgebietes „Syrau-Kauschwitzer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ist:</w:t>
      </w:r>
    </w:p>
    <w:p>
      <w:r>
        <w:t xml:space="preserve">1. die Erhaltung und Entwicklung von Offenland-Biotopen und ihrer Lebensgemeinschaften, wie Zwergstrauch- und Feuchtheiden, Magerweiden, Magerrasen, Nasswiesen, Röhrichte, Fließ- und Stillgewässer, Zwischenmoore, Moorheiden sowie der dort lebenden Tierarten, wie Braunkehlchen, Heidelerche, Rebhuhn, Bekassine und Flussregenpfeifer sowie Pflanzenarten, wie Heidekraut, Bachnelkenwurz, Arnika, Steifer Augentrost und Borstige Schuppensimse;</w:t>
      </w:r>
    </w:p>
    <w:p>
      <w:r>
        <w:t xml:space="preserve">2. die Erhaltung der naturnahen Eichentrocken- und Moorwälder und ihrer Lebensgemeinschaften in ihrem Biotopcharakter für die Sicherung einer dauerhaften Funktionsfähigkeit des Naturhaushaltes;</w:t>
      </w:r>
    </w:p>
    <w:p>
      <w:r>
        <w:t xml:space="preserve">3. die Entwicklung bestimmter Vorwaldflächen zu zwergstrauchreichen Höhenkiefer-Birken-(Eichen-)Wäldern, insbesondere unter Erhaltung eingestreuter Zwergstrauchbestände;</w:t>
      </w:r>
    </w:p>
    <w:p>
      <w:r>
        <w:t xml:space="preserve">4. die Entwicklung eines zwergstrauchdurchsetzten höhenkieferreichen Stieleichen-Birken-Waldes unter Beimischung der Weißtanne auf bisher nicht bewaldeten Anteilen des Flurstücks 407/1 der Gemarkung Schneckengrün;</w:t>
      </w:r>
    </w:p>
    <w:p>
      <w:r>
        <w:t xml:space="preserve">5. die Erhaltung der unbebauten, durch einzelne eingestreute Gehölze gekennzeichneten, großflächigen und blütenreichen Heidebestände wegen ihrer besonderen Eigenart, hervorragenden Schönheit und Einzigartigkeit im Regierungsbezirk Chemnitz.</w:t>
      </w:r>
    </w:p>
    <w:p>
      <w:r>
        <w:rPr>
          <w:color w:val="555555"/>
          <w:sz w:val="17"/>
        </w:rPr>
        <w:t xml:space="preserve">Zitiervorschlag: § 3 SN-15149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