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SN-15148 (Sachsen) — Befreiungen</w:t>
      </w:r>
    </w:p>
    <w:p>
      <w:r>
        <w:rPr>
          <w:color w:val="555555"/>
          <w:sz w:val="18"/>
        </w:rPr>
        <w:t xml:space="preserve">Verordnung des Regierungspräsidiums Leipzig zur Festsetzung des Naturschutzgebietes „Alte Halde – Dolomitgebiet Ostrau“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Von den Verboten dieser Verordnung kann die höhere Naturschutzbehörde nach § 53 SächsNatSchG auf Antrag Befreiung erteilen, wenn</w:t>
      </w:r>
    </w:p>
    <w:p>
      <w:r>
        <w:t xml:space="preserve">1. die Durchführung der Vorschrift im Einzelfall</w:t>
      </w:r>
    </w:p>
    <w:p>
      <w:r>
        <w:t xml:space="preserve">a)</w:t>
      </w:r>
    </w:p>
    <w:p>
      <w:r>
        <w:t xml:space="preserve">zu einer nicht beabsichtigten Härte führen würde und die Abweichung mit den Belangen des Naturschutzes und der Landschaftspflege zu vereinbaren ist oder</w:t>
      </w:r>
    </w:p>
    <w:p>
      <w:r>
        <w:t xml:space="preserve">b)</w:t>
      </w:r>
    </w:p>
    <w:p>
      <w:r>
        <w:t xml:space="preserve">zu einer nicht gewollten Beeinträchtigung von Natur und Landschaft führen würde</w:t>
      </w:r>
    </w:p>
    <w:p>
      <w:r>
        <w:t xml:space="preserve">oder</w:t>
      </w:r>
    </w:p>
    <w:p>
      <w:r>
        <w:t xml:space="preserve">2. überwiegende Gründe des Gemeinwohls die Befreiung erfordern.</w:t>
      </w:r>
    </w:p>
    <w:p>
      <w:r>
        <w:t xml:space="preserve">(2) Befreiungen können mit Nebenbestimmungen versehen werden.</w:t>
      </w:r>
    </w:p>
    <w:p>
      <w:r>
        <w:t xml:space="preserve">(3) Die Befreiung wird durch eine nach anderen Vorschriften gleichzeitig erforderliche Gestattung ersetzt, soweit nicht Bundesrecht entgegensteht. Die Gestattung darf nur erteilt werden, wenn die Voraussetzungen des Absatzes 1 vorliegen und die sonst zuständige Naturschutzbehörde ihr Einvernehmen erteilt hat. § 10 Abs. 1 Satz 2 SächsNatSchG gilt entsprechend.</w:t>
      </w:r>
    </w:p>
    <w:p>
      <w:r>
        <w:rPr>
          <w:color w:val="555555"/>
          <w:sz w:val="17"/>
        </w:rPr>
        <w:t xml:space="preserve">Zitiervorschlag: § 7 SN-15148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https://recht.nulegal.eu/gesetze/SN-15148/7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