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SN-15148 (Sachsen) — Grundsätze der Pflege und Entwicklung</w:t>
      </w:r>
    </w:p>
    <w:p>
      <w:r>
        <w:rPr>
          <w:color w:val="555555"/>
          <w:sz w:val="18"/>
        </w:rPr>
        <w:t xml:space="preserve">Verordnung des Regierungspräsidiums Leipzig zur Festsetzung des Naturschutzgebietes „Alte Halde – Dolomitgebiet Ostrau“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Erreichen des Schutzzweckes nach § 3 und nach Maßgabe der §§ 4 und 5 dieser Verordnung ist zur dauerhaften Sicherung und Weiterentwicklung der Schutzwürdigkeit des Naturschutzgebietes</w:t>
      </w:r>
    </w:p>
    <w:p>
      <w:r>
        <w:t xml:space="preserve">1. eine extensive Grünlandnutzung einzuführen beziehungsweise fortzusetzen;</w:t>
      </w:r>
    </w:p>
    <w:p>
      <w:r>
        <w:t xml:space="preserve">2. die Erhaltung und Entwicklung des naturnahen Bachlaufs sowie der Trockenbiotope zu gewährleisten;</w:t>
      </w:r>
    </w:p>
    <w:p>
      <w:r>
        <w:t xml:space="preserve">3. eine naturnahe, bestandserhaltende Waldbewirtschaftung für den Bereich Birmenitzbachtal einzuführen und für den Bereich Münchhof, soweit nicht die Erhaltung der Verkehrssicherheit anderes erfordert, der Wald der natürlichen Entwicklung zu überlassen;</w:t>
      </w:r>
    </w:p>
    <w:p>
      <w:r>
        <w:t xml:space="preserve">4. eine Konzeption zur Besucherlenkung zu erstellen und umzusetzen, die insbesondere die zweckgebundene, dem Schutzzweck entsprechende Erhaltung bestimmter vorhandener Wege beinhaltet einschließlich einer Betrachtungsmöglichkeit der Dolomitwand.</w:t>
      </w:r>
    </w:p>
    <w:p>
      <w:r>
        <w:t xml:space="preserve">(2) Der zu erstellende Pflege- und Entwicklungsplan dient der Konkretisierung der in Absatz 1 aufgeführten und in der Würdigung erläuterten Entwicklungsziele und wird fortzuschreibende Grundlage für Pflege- und Entwicklungsmaßnahmen.</w:t>
      </w:r>
    </w:p>
    <w:p>
      <w:r>
        <w:t xml:space="preserve">(3) Die Durchführung von Pflege- und Entwicklungsmaßnahmen kann Eigentümern und Nutzungsberechtigten gemäß § 15 Abs. 5 SächsNatSchG auf Antrag übertragen werden. Ansonsten ist die Durchführung der im Pflege- und Entwicklungsplan vorgeschlagenen Maßnahmen zu dulden.</w:t>
      </w:r>
    </w:p>
    <w:p>
      <w:r>
        <w:rPr>
          <w:color w:val="555555"/>
          <w:sz w:val="17"/>
        </w:rPr>
        <w:t xml:space="preserve">Zitiervorschlag: § 6 SN-15148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https://recht.nulegal.eu/gesetze/SN-15148/6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