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SN-15148 (Sachsen) — In-Kraft-Treten</w:t>
      </w:r>
    </w:p>
    <w:p>
      <w:r>
        <w:rPr>
          <w:color w:val="555555"/>
          <w:sz w:val="18"/>
        </w:rPr>
        <w:t xml:space="preserve">Verordnung des Regierungspräsidiums Leipzig zur Festsetzung des Naturschutzgebietes „Alte Halde – Dolomitgebiet Ostrau“</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4 dieser Verordnung in Kraft.</w:t>
      </w:r>
    </w:p>
    <w:p>
      <w:r>
        <w:t xml:space="preserve">(2) Mit In-Kraft-Treten dieser Verordnung treten die einstweilige Sicherung des Naturschutzgebietes „Alte Halde – Dolomitwand“ in der Form der Anordnung des Regierungspräsidiums Leipzig vom 13. März 1995 gegen die Kalkwerke Ostrau GmbH und der Allgemeinverfügung des Regierungspräsidiums Leipzig vom 12. April 1995 (SächsABl. S. 584) sowie die Verordnung des Regierungspräsidiums Leipzig zur Festsetzung des Naturschutzgebietes „Alte Halde – Dolomitgebiet Ostrau“ vom 6. November 1996 (SächsABl. S. 1119) in der Fassung der Ergänzungsverordnung des Regierungspräsidiums Leipzig vom 17. Januar 1997 (SächsABl. S. 189) außer Kraft.</w:t>
      </w:r>
    </w:p>
    <w:p>
      <w:r>
        <w:t xml:space="preserve">Leipzig, den 17. Juni 1999</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des Sachverhaltes, der die Verletzung begründen soll, bei der höheren Naturschutzbehörde, die die Rechtsverordnung erlassen hat, geltend gemacht wird.</w:t>
      </w:r>
    </w:p>
    <w:p>
      <w:r>
        <w:t xml:space="preserve">Übersichtskarte</w:t>
      </w:r>
    </w:p>
    <w:p>
      <w:r>
        <w:rPr>
          <w:color w:val="555555"/>
          <w:sz w:val="17"/>
        </w:rPr>
        <w:t xml:space="preserve">Zitiervorschlag: § 10 SN-15148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https://recht.nulegal.eu/gesetze/SN-15148/10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