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SN-15146 (Sachsen) — Schutzzweck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 :</w:t>
      </w:r>
    </w:p>
    <w:p>
      <w:r>
        <w:t xml:space="preserve">1. die Erhaltung und Entwicklung von Biotopen und Lebensgemeinschaften, wie magere Ruderalfluren, Zwergstrauchheiden, Halbtrockenrasen, temporäre und permanente Stillgewässer, Verlandungszonen, Hecken, Feldgehölze und Baumreihen, in ihrem räumlichen und funktionellen Zusammenhang;</w:t>
      </w:r>
    </w:p>
    <w:p>
      <w:r>
        <w:t xml:space="preserve">2. die Erhaltung der im Gebiet vorkommenden, teils stark gefährdeten Tier- und Pflanzenarten und die Vermeidung von Störungen, insbesondere der bedeutenden Vogelvorkommen von Wiesen- und Heckenbrütern;</w:t>
      </w:r>
    </w:p>
    <w:p>
      <w:r>
        <w:t xml:space="preserve">3. die Erhaltung des im Raum Glauchau letzten großflächigen und reich strukturierten Offenlandlebensraumes sowie seine zielgemäße Pflege.</w:t>
      </w:r>
    </w:p>
    <w:p>
      <w:r>
        <w:rPr>
          <w:color w:val="555555"/>
          <w:sz w:val="17"/>
        </w:rPr>
        <w:t xml:space="preserve">Zitiervorschlag: § 3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