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SN-15145 (Sachsen) — In-Kraft-Treten</w:t>
      </w:r>
    </w:p>
    <w:p>
      <w:r>
        <w:rPr>
          <w:color w:val="555555"/>
          <w:sz w:val="18"/>
        </w:rPr>
        <w:t xml:space="preserve">Verordnung des Regierungspräsidiums Leipzig zur Festsetzung des Naturschutzgebietes „Lehmlache Lauer“</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Ablauf der Auslegungsfrist gemäß § 2 Abs. 3 dieser Verordnung in Kraft.</w:t>
      </w:r>
    </w:p>
    <w:p>
      <w:r>
        <w:t xml:space="preserve">Leipzig, den 14. April 1999</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des Sachverhaltes, der die Verletzung begründen soll, bei der höheren Naturschutzbehörde, die die Rechtsverordnung erlassen hat, geltend gemacht wird.</w:t>
      </w:r>
    </w:p>
    <w:p>
      <w:r>
        <w:rPr>
          <w:color w:val="555555"/>
          <w:sz w:val="17"/>
        </w:rPr>
        <w:t xml:space="preserve">Zitiervorschlag: § 9 SN-15145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https://recht.nulegal.eu/gesetze/SN-15145/9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