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SN-15144 (Sachsen) — Pflege- und Entwicklungsplan</w:t>
      </w:r>
    </w:p>
    <w:p>
      <w:r>
        <w:rPr>
          <w:color w:val="555555"/>
          <w:sz w:val="18"/>
        </w:rPr>
        <w:t xml:space="preserve">Verordnung des Regierungspräsidiums Dresden zur Festsetzung des Naturschutzgebietes „Südbereich Braunsteich“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erforderlichen Pflege- und Entwicklungsmaßnahmen können in einem Pflege- und Entwicklungsplan festgelegt werden. Auf die §§ 15 Abs. 5, 38 und 39 SächsNatSchG wird verwiesen.</w:t>
      </w:r>
    </w:p>
    <w:p>
      <w:r>
        <w:rPr>
          <w:color w:val="555555"/>
          <w:sz w:val="17"/>
        </w:rPr>
        <w:t xml:space="preserve">Zitiervorschlag: § 6 SN-15144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https://recht.nulegal.eu/gesetze/SN-15144/6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