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SN-15120 (Sachsen) — Zuständigkeit der Ethikkommission für Präimplantationsdiagnostik</w:t>
      </w:r>
    </w:p>
    <w:p>
      <w:r>
        <w:rPr>
          <w:color w:val="555555"/>
          <w:sz w:val="18"/>
        </w:rPr>
        <w:t xml:space="preserve">Staatsvertrag über die gemeinsame Errichtung einer Ethikkommission für Präimplantationsdiagnostik bei der Landesärztekammer Baden-Württemberg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Ethikkommission ist zuständig für die Prüfung von Anträgen auf Durchführung einer Präimplantationsdiagnostik nach § 5 Absatz 1 PIDV, soweit die Antragsberechtigte beabsichtigt, diese Maßnahme in einem Zentrum durchführen zu lassen, das seinen Sitz in einem der am Staatsvertrag beteiligten Länder hat und das von diesem nach § 3 Absatz 1 PIDV zugelassen worden ist.</w:t>
      </w:r>
    </w:p>
    <w:p>
      <w:r>
        <w:rPr>
          <w:color w:val="555555"/>
          <w:sz w:val="17"/>
        </w:rPr>
        <w:t xml:space="preserve">Zitiervorschlag: § 2 SN-15120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https://recht.nulegal.eu/gesetze/SN-15120/2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