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SN-14080 (Sachsen) — Inkrafttreten</w:t>
      </w:r>
    </w:p>
    <w:p>
      <w:r>
        <w:rPr>
          <w:color w:val="555555"/>
          <w:sz w:val="18"/>
        </w:rPr>
        <w:t xml:space="preserve">Verordnung der Landesdirektion Sachsen zur Festsetzung des Hochwasserentstehungsgebietes „Obere Müglitz/Weißeritz“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(vergleiche § 3 Abs. 1) in Kraft.</w:t>
      </w:r>
    </w:p>
    <w:p>
      <w:r>
        <w:t xml:space="preserve">Dresden, den 12. Juni 2014</w:t>
      </w:r>
    </w:p>
    <w:p>
      <w:r>
        <w:t xml:space="preserve">Landesdirektion Sachsen</w:t>
      </w:r>
    </w:p>
    <w:p>
      <w:r>
        <w:t xml:space="preserve">Gökelmann</w:t>
      </w:r>
    </w:p>
    <w:p>
      <w:r>
        <w:t xml:space="preserve">Präsident</w:t>
      </w:r>
    </w:p>
    <w:p>
      <w:r>
        <w:rPr>
          <w:color w:val="555555"/>
          <w:sz w:val="17"/>
        </w:rPr>
        <w:t xml:space="preserve">Zitiervorschlag: § 4 SN-14080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https://recht.nulegal.eu/gesetze/SN-14080/4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