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SN-14080 (Sachsen) — Festsetzung als Schutzgebiet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„Obere Müglitz/Weißeritz“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beschriebenen Flächen auf dem Gebiet der Städte Altenberg, Dippoldiswalde und Glashütte sowie der Gemeinden Hartmannsdorf-Reichenau, Hermsdorf/Erzgeb. und Klingenberg im Landkreis Sächsische Schweiz-Osterzgebirge werden als Hochwasserentstehungsgebiet festgesetzt.</w:t>
      </w:r>
    </w:p>
    <w:p>
      <w:r>
        <w:t xml:space="preserve">(2) Das Hochwasserentstehungsgebiet führt die Bezeichnung „Obere Müglitz/Weißeritz“.</w:t>
      </w:r>
    </w:p>
    <w:p>
      <w:r>
        <w:t xml:space="preserve">(3) Mit der Festsetzung gelten für das Verordnungsgebiet die Einschränkungen und Verbote des § 76 Abs. 2 bis 5 SächsWG .</w:t>
      </w:r>
    </w:p>
    <w:p>
      <w:r>
        <w:rPr>
          <w:color w:val="555555"/>
          <w:sz w:val="17"/>
        </w:rPr>
        <w:t xml:space="preserve">Zitiervorschlag: § 1 SN-14080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https://recht.nulegal.eu/gesetze/SN-14080/1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