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SN-14059 (Sachsen) — Planung und Errichtung der gemeinsamen Justizvollzugsanstalt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Vertragspartner werden entsprechend dem Verteilungsschlüssel Miteigentümer der Grundstücke, auf denen die gemeinsame Justizvollzugsanstalt errichtet wird.</w:t>
      </w:r>
    </w:p>
    <w:p>
      <w:r>
        <w:t xml:space="preserve">(2) Bauherr ist der Freistaat Sachsen. Das Bauwerk wird in Kompaktbauweise in Anlehnung an die Bauweise der Justizvollzugsanstalt Dresden errichtet. Für die Bauplanung und -ausführung gelten die gesetzlichen Bestimmungen und die für die Durchführung von Bauaufgaben geltenden Verwaltungsvorschriften des Freistaats Sachsen.</w:t>
      </w:r>
    </w:p>
    <w:p>
      <w:r>
        <w:t xml:space="preserve">(3) Die Vertragspartner erstellen einvernehmlich eine quantitative und qualitative Bedarfsanforderung. Diese bedarf der einvernehmlichen haushaltsmäßigen Genehmigung durch die für Finanzen zuständigen Ministerien der Vertragspartner.</w:t>
      </w:r>
    </w:p>
    <w:p>
      <w:r>
        <w:t xml:space="preserve">(4) Die haushaltsmäßige Genehmigung der Baubedarfe und nachträglicher Änderungen erfolgt einvernehmlich durch die für Finanzen zuständigen Ministerien der Vertragspartner.</w:t>
      </w:r>
    </w:p>
    <w:p>
      <w:r>
        <w:t xml:space="preserve">(5) Mit Inkrafttreten dieses Staatsvertrags wird eine paritätisch besetzte Baukommission eingerichtet. Das Nähere regelt eine Verwaltungsvereinbarung.</w:t>
      </w:r>
    </w:p>
    <w:p>
      <w:r>
        <w:rPr>
          <w:color w:val="555555"/>
          <w:sz w:val="17"/>
        </w:rPr>
        <w:t xml:space="preserve">Zitiervorschlag: Artikel 3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