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SN-14058 (Sachsen) — Inkrafttreten</w:t>
      </w:r>
    </w:p>
    <w:p>
      <w:r>
        <w:rPr>
          <w:color w:val="555555"/>
          <w:sz w:val="18"/>
        </w:rPr>
        <w:t xml:space="preserve">Gesetz zum 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9 in Kraft tritt, ist durch die Sächsische Staatskanzlei im Sächsischen Gesetz- und Verordnungsblatt bekannt zu machen.</w:t>
      </w:r>
    </w:p>
    <w:p>
      <w:r>
        <w:t xml:space="preserve">Dresden, den 3. Juli 2014</w:t>
      </w:r>
    </w:p>
    <w:p>
      <w:r>
        <w:t xml:space="preserve">Der Landtagspräsident</w:t>
      </w:r>
    </w:p>
    <w:p>
      <w:r>
        <w:t xml:space="preserve">Dr. Matthias Rößler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der Justiz und für Europa</w:t>
      </w:r>
    </w:p>
    <w:p>
      <w:r>
        <w:t xml:space="preserve">Dr. Jürgen Martens</w:t>
      </w:r>
    </w:p>
    <w:p>
      <w:r>
        <w:rPr>
          <w:color w:val="555555"/>
          <w:sz w:val="17"/>
        </w:rPr>
        <w:t xml:space="preserve">Zitiervorschlag: Artikel 2 SN-14058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https://recht.nulegal.eu/gesetze/SN-14058/2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