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SN-13913 (Sachsen) — Weisungen, Anordnungen und Anweisungen</w:t>
      </w:r>
    </w:p>
    <w:p>
      <w:r>
        <w:rPr>
          <w:color w:val="555555"/>
          <w:sz w:val="18"/>
        </w:rPr>
        <w:t xml:space="preserve">Verordnung des Sächsischen Staatsministeriums der Justiz und für Europa über die Abwendung der Vollstreckung einer Ersatzfreiheitsstrafe durch Arbeit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Verurteilte hat den Weisungen der Vollstreckungsbehörde nachzukommen.</w:t>
      </w:r>
    </w:p>
    <w:p>
      <w:r>
        <w:t xml:space="preserve">(2) Sind dem Sozialen Dienst der Justiz Aufgaben nach § 8 übertragen, hat der Verurteilte dessen Anordnungen nachzukommen.</w:t>
      </w:r>
    </w:p>
    <w:p>
      <w:r>
        <w:t xml:space="preserve">(3) Der Verurteilte hat den Anweisungen der jeweiligen Einsatzstelle Folge zu leisten.</w:t>
      </w:r>
    </w:p>
    <w:p>
      <w:r>
        <w:rPr>
          <w:color w:val="555555"/>
          <w:sz w:val="17"/>
        </w:rPr>
        <w:t xml:space="preserve">Zitiervorschlag: § 5 SN-13913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https://recht.nulegal.eu/gesetze/SN-13913/5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