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SN-13913 (Sachsen) — Vollstreckungshemmung</w:t>
      </w:r>
    </w:p>
    <w:p>
      <w:r>
        <w:rPr>
          <w:color w:val="555555"/>
          <w:sz w:val="18"/>
        </w:rPr>
        <w:t xml:space="preserve">Verordnung des Sächsischen Staatsministeriums der Justiz und für Europa über die Abwendung der Vollstreckung einer Ersatzfreiheitsstrafe durch 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einer Ersatzfreiheitsstrafe unterbleibt, solange</w:t>
      </w:r>
    </w:p>
    <w:p>
      <w:r>
        <w:t xml:space="preserve">1. über einen nach § 2 Abs. 1 Satz 2 fristgerecht gestellten Antrag des Verurteilten nicht entschieden ist oder</w:t>
      </w:r>
    </w:p>
    <w:p>
      <w:r>
        <w:t xml:space="preserve">2. dem Verurteilten die Abwendung der Vollstreckung der Ersatzfreiheitsstrafe durch Arbeit gestattet ist.</w:t>
      </w:r>
    </w:p>
    <w:p>
      <w:r>
        <w:rPr>
          <w:color w:val="555555"/>
          <w:sz w:val="17"/>
        </w:rPr>
        <w:t xml:space="preserve">Zitiervorschlag: § 4 SN-13913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https://recht.nulegal.eu/gesetze/SN-13913/4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