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SN-13855 (Sachsen) — Jahresrechnung</w:t>
      </w:r>
    </w:p>
    <w:p>
      <w:r>
        <w:rPr>
          <w:color w:val="555555"/>
          <w:sz w:val="18"/>
        </w:rPr>
        <w:t xml:space="preserve">Gesetz über die Errichtung eines Sondervermögens „Aufbauhilfefonds Sachsen 2013“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Staatsministerium der Finanzen stellt zum Schluss des Wirtschaftsjahres die Jahresrechnung für den Fonds auf und fügt sie als Anhang der Haushaltsrechnung des Freistaates Sachsen bei.</w:t>
      </w:r>
    </w:p>
    <w:p>
      <w:r>
        <w:t xml:space="preserve">(2) Die Jahresrechnung enthält die Einnahmen und Ausgaben sowie den Bestand des Fonds.</w:t>
      </w:r>
    </w:p>
    <w:p>
      <w:r>
        <w:rPr>
          <w:color w:val="555555"/>
          <w:sz w:val="17"/>
        </w:rPr>
        <w:t xml:space="preserve">Zitiervorschlag: § 6 SN-13855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https://recht.nulegal.eu/gesetze/SN-13855/6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