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SN-13854 (Sachsen) — Inkrafttreten</w:t>
      </w:r>
    </w:p>
    <w:p>
      <w:r>
        <w:rPr>
          <w:color w:val="555555"/>
          <w:sz w:val="18"/>
        </w:rPr>
        <w:t xml:space="preserve">Gesetz über die Gewährung einer Investitionspauschale für die infrastrukturelle Grundversorgung an die Kreisfreien Städte und Landkreise im Jahr 2014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2014 in Kraft.</w:t>
      </w:r>
    </w:p>
    <w:p>
      <w:r>
        <w:t xml:space="preserve">Dresden, den 17. Dezember 2013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Finanzen</w:t>
      </w:r>
    </w:p>
    <w:p>
      <w:r>
        <w:t xml:space="preserve">Prof. Dr. Georg Unland</w:t>
      </w:r>
    </w:p>
    <w:p>
      <w:r>
        <w:rPr>
          <w:color w:val="555555"/>
          <w:sz w:val="17"/>
        </w:rPr>
        <w:t xml:space="preserve">Zitiervorschlag: § 4 SN-13854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