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SN-13854 (Sachsen) — Berechnung, Festsetzung, Auszahlung und Verwendungsnachweisführung der Investitionspauschale</w:t>
      </w:r>
    </w:p>
    <w:p>
      <w:r>
        <w:rPr>
          <w:color w:val="555555"/>
          <w:sz w:val="18"/>
        </w:rPr>
        <w:t xml:space="preserve">Gesetz über die Gewährung einer Investitionspauschale für die infrastrukturelle Grundversorgung an die Kreisfreien Städte und Landkreise im Jahr 2014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Berechnung und Festsetzung der Zuweisungen nach § 1 Abs. 1 findet § 31 Abs. 1 Satz 1 und 2 sowie Abs. 2 des Gesetzes über den Finanzausgleich mit den Gemeinden und Landkreisen im Freistaat Sachsen (Sächsisches Finanzausgleichsgesetz – SächsFAG) in der Fassung der Bekanntmachung vom 21. Januar 2013 (SächsGVBl. S. 95), in der jeweils geltenden Fassung, entsprechende Anwendung. Die Zuweisungen nach § 1 Abs. 1 werden am 17. Februar 2014 ausgezahlt.</w:t>
      </w:r>
    </w:p>
    <w:p>
      <w:r>
        <w:t xml:space="preserve">(2) Für die Verwendungsnachweisführung über die Zuweisungen nach § 1 Abs. 1 findet § 15 Abs. 3 Satz 1 und 2 Alternative 2 SächsFAG , in der jeweils geltenden Fassung, entsprechend Anwendung. Die nach § 1 Abs. 1 im Jahr 2014 nicht vollständig abgeflossenen Zuweisungen sind im Rahmen der Verwendungsnachweisführung zu den investiven Schlüsselzuweisungen nachzuweisen.</w:t>
      </w:r>
    </w:p>
    <w:p>
      <w:r>
        <w:rPr>
          <w:color w:val="555555"/>
          <w:sz w:val="17"/>
        </w:rPr>
        <w:t xml:space="preserve">Zitiervorschlag: § 3 SN-13854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https://recht.nulegal.eu/gesetze/SN-13854/3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