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SN-13786 (Sachsen)</w:t>
      </w:r>
    </w:p>
    <w:p>
      <w:r>
        <w:rPr>
          <w:color w:val="555555"/>
          <w:sz w:val="18"/>
        </w:rPr>
        <w:t xml:space="preserve">Gesetz zum Landesgrenzänderungsstaatsvertrag „Halde Phönix-Nord“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Landesgrenzänderungsstaatsvertrag „Halde Phönix-Nord“ nach seinem Artikel 5 Abs. 1 Satz 2 in Kraft tritt, ist durch die Sächsische Staatskanzlei im Sächsischen Gesetz- und Verordnungsblatt bekannt zu machen.</w:t>
      </w:r>
    </w:p>
    <w:p>
      <w:r>
        <w:t xml:space="preserve">Dresden, den 6. Oktober 2013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Artikel 2 SN-13786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https://recht.nulegal.eu/gesetze/SN-13786/2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