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SN-1358 (Sachsen) — In-Kraft-Treten und Außer-Kraft-Treten</w:t>
      </w:r>
    </w:p>
    <w:p>
      <w:r>
        <w:rPr>
          <w:color w:val="555555"/>
          <w:sz w:val="18"/>
        </w:rPr>
        <w:t xml:space="preserve">Verordnung des Sächsischen Staatsministeriums für Wirtschaft, Arbeit und Verkehr über energierechtliche Zuständigkeiten</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ihrer Verkündung in Kraft. Gleichzeitig tritt die Verordnung des Sächsischen Staatsministeriums für Wirtschaft und Arbeit über energierechtliche Zuständigkeiten vom 8. Dezember 2000 (SächsGVBl. 2001 S. 14), geändert durch Verordnung vom 12. Dezember 2001 (SächsGVBl. 2002 S. 55), außer Kraft.</w:t>
      </w:r>
    </w:p>
    <w:p>
      <w:r>
        <w:t xml:space="preserve">Dresden, den 3. April 2006</w:t>
      </w:r>
    </w:p>
    <w:p>
      <w:r>
        <w:t xml:space="preserve">Der Staatsminister</w:t>
      </w:r>
    </w:p>
    <w:p>
      <w:r>
        <w:t xml:space="preserve">für Wirtschaft und Arbeit</w:t>
      </w:r>
    </w:p>
    <w:p>
      <w:r>
        <w:t xml:space="preserve">Thomas Jurk</w:t>
      </w:r>
    </w:p>
    <w:p>
      <w:r>
        <w:rPr>
          <w:color w:val="555555"/>
          <w:sz w:val="17"/>
        </w:rPr>
        <w:t xml:space="preserve">Zitiervorschlag: § 2 SN-1358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https://recht.nulegal.eu/gesetze/SN-1358/2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