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SN-1358 (Sachsen) — Zuständigkeit</w:t>
      </w:r>
    </w:p>
    <w:p>
      <w:r>
        <w:rPr>
          <w:color w:val="555555"/>
          <w:sz w:val="18"/>
        </w:rPr>
        <w:t xml:space="preserve">Verordnung des Sächsischen Staatsministeriums für Wirtschaft, Arbeit und Verkehr über energierechtliche Zuständigkeiten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Landesdirektion Sachsen ist Planfeststellungs-, Plangenehmigungs-, Anhörungs- und Enteignungsbehörde nach §§ 43 bis 45a des Gesetzes über die Elektrizitäts- und Gasversorgung ( Energiewirtschaftsgesetz – EnWG ) vom 7. Juli 2005 (BGBl. I S. 1970, 3621), in der jeweils geltenden Fassung.</w:t>
      </w:r>
    </w:p>
    <w:p>
      <w:r>
        <w:rPr>
          <w:color w:val="555555"/>
          <w:sz w:val="17"/>
        </w:rPr>
        <w:t xml:space="preserve">Zitiervorschlag: § 1 SN-1358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https://recht.nulegal.eu/gesetze/SN-1358/1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