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2 SN-1320 (Sachsen)</w:t>
      </w:r>
    </w:p>
    <w:p>
      <w:r>
        <w:rPr>
          <w:color w:val="555555"/>
          <w:sz w:val="18"/>
        </w:rPr>
        <w:t xml:space="preserve">Gesetz zu dem Staatsvertrag zwischen dem Freistaat Sachsen und dem Land Sachsen-Anhalt über die Aufnahme der Mitglieder der Architektenkammer Sachsen-Anhalt in das Versorgungswerk der Architektenkammer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 Der Tag, an dem der Staatsvertrag nach seinem Artikel 10 Abs. 1 in Kraft tritt, ist im Sächsischen Gesetz- und Verordnungsblatt bekannt zu machen.</w:t>
      </w:r>
    </w:p>
    <w:p>
      <w:r>
        <w:t xml:space="preserve">Das vorstehende Gesetz wird hiermit ausgefertigt und ist zu verkünden.</w:t>
      </w:r>
    </w:p>
    <w:p>
      <w:r>
        <w:t xml:space="preserve">Dresden, den 18. Juli 2001</w:t>
      </w:r>
    </w:p>
    <w:p>
      <w:r>
        <w:t xml:space="preserve">Der Landtagspräsident</w:t>
      </w:r>
    </w:p>
    <w:p>
      <w:r>
        <w:t xml:space="preserve">Erich Iltgen</w:t>
      </w:r>
    </w:p>
    <w:p>
      <w:r>
        <w:t xml:space="preserve">Der Ministerpräsident</w:t>
      </w:r>
    </w:p>
    <w:p>
      <w:r>
        <w:t xml:space="preserve">Prof. Dr. Kurt Biedenkopf</w:t>
      </w:r>
    </w:p>
    <w:p>
      <w:r>
        <w:t xml:space="preserve">Der Staatsminister des Innern</w:t>
      </w:r>
    </w:p>
    <w:p>
      <w:r>
        <w:t xml:space="preserve">In Vertretung</w:t>
      </w:r>
    </w:p>
    <w:p>
      <w:r>
        <w:t xml:space="preserve">Manfred Kolbe</w:t>
      </w:r>
    </w:p>
    <w:p>
      <w:r>
        <w:t xml:space="preserve">Der Staatsminister für Justiz</w:t>
      </w:r>
    </w:p>
    <w:p>
      <w:r>
        <w:rPr>
          <w:color w:val="555555"/>
          <w:sz w:val="17"/>
        </w:rPr>
        <w:t xml:space="preserve">Zitiervorschlag: Artikel 2 SN-1320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https://recht.nulegal.eu/gesetze/SN-1320/2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