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SN-12896 (Sachsen) — Inkrafttreten und Außerkrafttreten</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tritt die Verordnung der Sächsischen Staatsregierung über den Landesentwicklungsplan Sachsen (LEP 2003) vom 16. Dezember 2003 (SächsGVBl. S. 915) außer Kraft.</w:t>
      </w:r>
    </w:p>
    <w:p>
      <w:r>
        <w:t xml:space="preserve">Dresden, den 14. August 2013</w:t>
      </w:r>
    </w:p>
    <w:p>
      <w:r>
        <w:t xml:space="preserve">Der Ministerpräsident</w:t>
      </w:r>
    </w:p>
    <w:p>
      <w:r>
        <w:t xml:space="preserve">Stanislaw Tillich</w:t>
      </w:r>
    </w:p>
    <w:p>
      <w:r>
        <w:t xml:space="preserve">Der Staatsminister des Innern</w:t>
      </w:r>
    </w:p>
    <w:p>
      <w:r>
        <w:t xml:space="preserve">Markus Ulbig</w:t>
      </w:r>
    </w:p>
    <w:p>
      <w:r>
        <w:rPr>
          <w:color w:val="555555"/>
          <w:sz w:val="17"/>
        </w:rPr>
        <w:t xml:space="preserve">Zitiervorschlag: § 2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