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SN-12885 (Sachsen)</w:t>
      </w:r>
    </w:p>
    <w:p>
      <w:r>
        <w:rPr>
          <w:color w:val="555555"/>
          <w:sz w:val="18"/>
        </w:rPr>
        <w:t xml:space="preserve">Verordnung des Sächsischen Staatsministeriums der Finanzen zur Anpassung der in § 5 des Sächsischen Reisekostengesetzes festgesetzten Beträge der Wegstreckenentschädigung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17 Abs. 1 Nr. 1 des Sächsischen Gesetzes über die Reisekostenvergütung der Beamten und Richter (Sächsisches Reisekostengesetz – SächsRKG) vom 12. Dezember 2008 (SächsGVBl. S. 866, 876) wird verordnet:</w:t>
      </w:r>
    </w:p>
    <w:p>
      <w:r>
        <w:rPr>
          <w:color w:val="555555"/>
          <w:sz w:val="17"/>
        </w:rPr>
        <w:t xml:space="preserve">Zitiervorschlag: Eingangsformel SN-12885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