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SN-12885 (Sachsen)</w:t>
      </w:r>
    </w:p>
    <w:p>
      <w:r>
        <w:rPr>
          <w:color w:val="555555"/>
          <w:sz w:val="18"/>
        </w:rPr>
        <w:t xml:space="preserve">Verordnung des Sächsischen Staatsministeriums der Finanzen zur Anpassung der in § 5 des Sächsischen Reisekostengesetzes festgesetzten Beträge der Wegstreckenentschädigung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September 2013 in Kraft.</w:t>
      </w:r>
    </w:p>
    <w:p>
      <w:r>
        <w:t xml:space="preserve">Dresden, den 3. Juli 2013</w:t>
      </w:r>
    </w:p>
    <w:p>
      <w:r>
        <w:t xml:space="preserve">Der Staatsminister der Finanzen</w:t>
      </w:r>
    </w:p>
    <w:p>
      <w:r>
        <w:t xml:space="preserve">Prof. Dr. Georg Unland</w:t>
      </w:r>
    </w:p>
    <w:p>
      <w:r>
        <w:rPr>
          <w:color w:val="555555"/>
          <w:sz w:val="17"/>
        </w:rPr>
        <w:t xml:space="preserve">Zitiervorschlag: § 2 SN-12885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https://recht.nulegal.eu/gesetze/SN-12885/2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