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SN-12814 (Sachsen)</w:t>
      </w:r>
    </w:p>
    <w:p>
      <w:r>
        <w:rPr>
          <w:color w:val="555555"/>
          <w:sz w:val="18"/>
        </w:rPr>
        <w:t xml:space="preserve">Gesetz zum Finanzvermögen-Staatsvertrag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Finanzvermögen-Staatsvertrag nach seinem Artikel 9 Satz 2 in Kraft tritt, ist durch die Sächsische Staatskanzlei im Sächsischen Gesetz- und Verordnungsblatt bekannt zu machen.</w:t>
      </w:r>
    </w:p>
    <w:p>
      <w:r>
        <w:t xml:space="preserve">Dresden, den 13. Mai 2013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der Finanzen</w:t>
      </w:r>
    </w:p>
    <w:p>
      <w:r>
        <w:t xml:space="preserve">Prof. Dr. Georg Unland</w:t>
      </w:r>
    </w:p>
    <w:p>
      <w:r>
        <w:rPr>
          <w:color w:val="555555"/>
          <w:sz w:val="17"/>
        </w:rPr>
        <w:t xml:space="preserve">Zitiervorschlag: Artikel 2 SN-12814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https://recht.nulegal.eu/gesetze/SN-12814/2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