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SN-12793 (Sachsen) — Einsatz von elektronischen Bezahlsystemen</w:t>
      </w:r>
    </w:p>
    <w:p>
      <w:r>
        <w:rPr>
          <w:color w:val="555555"/>
          <w:sz w:val="18"/>
        </w:rPr>
        <w:t xml:space="preserve">Staatsvertrag über die Übertragung von Aufgaben nach §§ 802k Abs.1 Satz 2, 882 h Abs. 1 Satz 2 und 3 der Zivilprozessordnung und § 6 Abs. 1 Schuldnerverzeichnisführungsverordnung und § 7 Abs.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Abgeltung der Gebühren nach § 4 Abs. 1 ist der Einsatz elektronischer Bezahlsysteme gestattet.</w:t>
      </w:r>
    </w:p>
    <w:p>
      <w:r>
        <w:t xml:space="preserve">(2) Die Länder erhalten zum Nachweis der nach § 4 Abs. 1 erhobenen Gebühren eine monatliche Übersicht.</w:t>
      </w:r>
    </w:p>
    <w:p>
      <w:r>
        <w:rPr>
          <w:color w:val="555555"/>
          <w:sz w:val="17"/>
        </w:rPr>
        <w:t xml:space="preserve">Zitiervorschlag: § 5 SN-12793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https://recht.nulegal.eu/gesetze/SN-12793/5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