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SN-12793 (Sachsen) — Gegenstand und Ziele des Vollstreckungsportals</w:t>
      </w:r>
    </w:p>
    <w:p>
      <w:r>
        <w:rPr>
          <w:color w:val="555555"/>
          <w:sz w:val="18"/>
        </w:rPr>
        <w:t xml:space="preserve">Staatsvertrag über die Übertragung von Aufgaben nach §§ 802k Abs.1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Mit dem bundesweiten Vollstreckungsportal werden folgende Ziele erreicht:</w:t>
      </w:r>
    </w:p>
    <w:p>
      <w:r>
        <w:t xml:space="preserve">1. Über das Vollstreckungsportal wird den gesetzlich Berechtigten die Einsichtnahme in den Datenbestand der Schuldnerverzeichnisse und der Vermögensverzeichnisse der Länder in elektronischer Form eröffnet.</w:t>
      </w:r>
    </w:p>
    <w:p>
      <w:r>
        <w:t xml:space="preserve">2. Das Vollstreckungsportal erlaubt den gesetzlich Berechtigten eine bundesweite Suche über die eingetragenen Daten aus den Schuldnerverzeichnissen und Vermögensverzeichnissen (Schuldnerdaten) der Länder.</w:t>
      </w:r>
    </w:p>
    <w:p>
      <w:r>
        <w:t xml:space="preserve">3. Das Vollstreckungsportal stellt im Zusammenwirken mit Systemen, zu denen eine Vertrauensbeziehung besteht ( sog. Vertrauensdomäne), ein zentrales und länderübergreifendes elektronisches Informations- und Kommunikationssystem im Internet zur Registrierung der Nutzungsberechtigen im Sinne des § 7 Abs. 4 der Schuldnerverzeichnisführungsverordnung bereit.</w:t>
      </w:r>
    </w:p>
    <w:p>
      <w:r>
        <w:t xml:space="preserve">4. Das Vollstreckungsportal bietet die Möglichkeit einer länderübergreifenden Gebührenabrechnung und Vollstreckung der Gebührenforderung.</w:t>
      </w:r>
    </w:p>
    <w:p>
      <w:r>
        <w:t xml:space="preserve">5. Das Vollstreckungsportal stellt die technischen Voraussetzungen bereit, um die Daten der Schuldnerverzeichnisse und der Vermögensverzeichnisse aller Länder über eine einheitliche Schnittstelle zu übernehmen und die Abdrucke aus dem Schuldnerverzeichnis zu erstellen und zu versenden.</w:t>
      </w:r>
    </w:p>
    <w:p>
      <w:r>
        <w:rPr>
          <w:color w:val="555555"/>
          <w:sz w:val="17"/>
        </w:rPr>
        <w:t xml:space="preserve">Zitiervorschlag: § 1 SN-12793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https://recht.nulegal.eu/gesetze/SN-12793/1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