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SN-12643 (Sachsen) — Anwendung des Bundesschuldenwesengesetzes</w:t>
      </w:r>
    </w:p>
    <w:p>
      <w:r>
        <w:rPr>
          <w:color w:val="555555"/>
          <w:sz w:val="18"/>
        </w:rPr>
        <w:t xml:space="preserve">Gesetz über das Staatsschuldbuch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das Staatsschuldbuch sind die §§ 6 bis 8 des Gesetzes zur Regelung des Schuldenwesens des Bundes ( Bundesschuldenwesengesetz – BSchuWG ) vom 12. Juli 2006 (BGBl. I S. 1466), das durch Artikel 1 des Gesetzes vom 13. Dezember 2012 (BGBl. I S. 1914) geändert worden ist, in der jeweils geltenden Fassung, sinngemäß anzuwenden, soweit nicht etwas anderes bestimmt ist.</w:t>
      </w:r>
    </w:p>
    <w:p>
      <w:r>
        <w:t xml:space="preserve">(2) Bei Anwendung der in Absatz 1 genannten Vorschriften treten an die Stelle</w:t>
      </w:r>
    </w:p>
    <w:p>
      <w:r>
        <w:t xml:space="preserve">Vertretung Nummer Stelle alt Stelle neu</w:t>
      </w:r>
    </w:p>
    <w:p>
      <w:r>
        <w:t xml:space="preserve">1. des Bundes der Freistaat Sachsen,</w:t>
      </w:r>
    </w:p>
    <w:p>
      <w:r>
        <w:t xml:space="preserve">2. des Bundesschuldbuchs das Staatsschuldbuch des Freistaates Sachsen,</w:t>
      </w:r>
    </w:p>
    <w:p>
      <w:r>
        <w:t xml:space="preserve">3. des Bundesministeriums der Finanzen das Staatsministerium der Finanzen,</w:t>
      </w:r>
    </w:p>
    <w:p>
      <w:r>
        <w:t xml:space="preserve">4. der Emission des Bundes die Emission des Freistaates Sachsen,</w:t>
      </w:r>
    </w:p>
    <w:p>
      <w:r>
        <w:t xml:space="preserve">5. der Bundeswertpapiere die Wertpapiere des Freistaates Sachsen.</w:t>
      </w:r>
    </w:p>
    <w:p>
      <w:r>
        <w:rPr>
          <w:color w:val="555555"/>
          <w:sz w:val="17"/>
        </w:rPr>
        <w:t xml:space="preserve">Zitiervorschlag: § 3 SN-12643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https://recht.nulegal.eu/gesetze/SN-12643/3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