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SN-12643 (Sachsen) — Inhalt des Staatsschuldbuches</w:t>
      </w:r>
    </w:p>
    <w:p>
      <w:r>
        <w:rPr>
          <w:color w:val="555555"/>
          <w:sz w:val="18"/>
        </w:rPr>
        <w:t xml:space="preserve">Gesetz über das Staatsschuldbuch des Freistaates Sachsen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Das Staatsschuldbuch besteht aus Abteilungen.</w:t>
      </w:r>
    </w:p>
    <w:p>
      <w:r>
        <w:t xml:space="preserve">(2) In Abteilung A werden die kraft Gesetzes oder Rechtsgeschäftes zu Buchschulden erklärten Geldforderungen gegen den Freistaat Sachsen als Sammel- oder Einzelschuldbuchforderungen eingetragen. Das Staatsministerium der Finanzen kann weitere Abteilungen einrichten.</w:t>
      </w:r>
    </w:p>
    <w:p>
      <w:r>
        <w:t xml:space="preserve">(3) Über die Schuldbuchfähigkeit von durch Gesetz oder Rechtsgeschäft begründeten Forderungen entscheidet das Staatsministerium der Finanzen.</w:t>
      </w:r>
    </w:p>
    <w:p>
      <w:r>
        <w:rPr>
          <w:color w:val="555555"/>
          <w:sz w:val="17"/>
        </w:rPr>
        <w:t xml:space="preserve">Zitiervorschlag: § 2 SN-12643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https://recht.nulegal.eu/gesetze/SN-12643/2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