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SN-12603 (Sachsen) — Ausstattung der Landesregulierungsbehörde</w:t>
      </w:r>
    </w:p>
    <w:p>
      <w:r>
        <w:rPr>
          <w:color w:val="555555"/>
          <w:sz w:val="18"/>
        </w:rPr>
        <w:t xml:space="preserve">Gesetz über die Landesregulierungsbehörde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Landesregulierungsbehörde erhält nach Maßgabe des Haushaltsplans Personal- und Sachmittel in ausreichendem Umfang. Die Landesregulierungsbehörde entscheidet im Rahmen der Gesetze eigenverantwortlich über die Verwendung der Haushaltsmittel.</w:t>
      </w:r>
    </w:p>
    <w:p>
      <w:r>
        <w:t xml:space="preserve">(2) Die Landesregulierungsbehörde nutzt die Räume, Einrichtungsgegenstände, Medien (Wasser, Licht, Strom, Heizung etc.) sowie die Büroausstattung im Sächsischen Staatsministerium für Wirtschaft, Arbeit und Verkehr. Die Bewirtschaftungskosten werden pauschal aus Gebühreneinnahmen abgegolten.</w:t>
      </w:r>
    </w:p>
    <w:p>
      <w:r>
        <w:rPr>
          <w:color w:val="555555"/>
          <w:sz w:val="17"/>
        </w:rPr>
        <w:t xml:space="preserve">Zitiervorschlag: § 4 SN-12603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https://recht.nulegal.eu/gesetze/SN-12603/4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