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SN-12603 (Sachsen) — Unabhängigkeit der Landesregulierungsbehörde</w:t>
      </w:r>
    </w:p>
    <w:p>
      <w:r>
        <w:rPr>
          <w:color w:val="555555"/>
          <w:sz w:val="18"/>
        </w:rPr>
        <w:t xml:space="preserve">Gesetz über die Landesregulierungsbehörde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Landesregulierungsbehörde sowie die dort eingesetzten Beschäftigten sind bei der Wahrnehmung der Aufgaben nach § 54 Abs. 2 EnWG an Weisungen von Stellen außerhalb der Landesregulierungsbehörde nicht gebunden und nur dem Gesetz unterworfen. Sie üben ihre Tätigkeit unabhängig von Unternehmen und Marktinteressen aus.</w:t>
      </w:r>
    </w:p>
    <w:p>
      <w:r>
        <w:t xml:space="preserve">(2) Die Dienstaufsicht über die bei der Landesregulierungsbehörde Beschäftigten obliegt dem Sächsischen Staatsministerium für Wirtschaft, Arbeit und Verkehr.</w:t>
      </w:r>
    </w:p>
    <w:p>
      <w:r>
        <w:rPr>
          <w:color w:val="555555"/>
          <w:sz w:val="17"/>
        </w:rPr>
        <w:t xml:space="preserve">Zitiervorschlag: § 2 SN-12603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https://recht.nulegal.eu/gesetze/SN-12603/2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