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SN-12489 (Sachsen)</w:t>
      </w:r>
    </w:p>
    <w:p>
      <w:r>
        <w:rPr>
          <w:color w:val="555555"/>
          <w:sz w:val="18"/>
        </w:rPr>
        <w:t xml:space="preserve">Gesetz zum 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[ Berichtigt 2. Oktober 2012 (SächsGVBl. S. 556)]</w:t>
      </w:r>
    </w:p>
    <w:p>
      <w:r>
        <w:t xml:space="preserve">Der Sächsische Landtag hat am 9. Mai 2012 das folgende Gesetz beschlossen:</w:t>
      </w:r>
    </w:p>
    <w:p>
      <w:r>
        <w:rPr>
          <w:color w:val="555555"/>
          <w:sz w:val="17"/>
        </w:rPr>
        <w:t xml:space="preserve">Zitiervorschlag: Eingangsformel SN-12489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