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SN-12489 (Sachsen)</w:t>
      </w:r>
    </w:p>
    <w:p>
      <w:r>
        <w:rPr>
          <w:color w:val="555555"/>
          <w:sz w:val="18"/>
        </w:rPr>
        <w:t xml:space="preserve">Gesetz zum 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GÜL nach seinem Artikel 9 Abs. 2 für den Freistaat Sachsen in Kraft tritt, ist durch die Sächsische Staatskanzlei im Sächsischen Gesetz- und Verordnungsblatt bekannt zu machen.</w:t>
      </w:r>
    </w:p>
    <w:p>
      <w:r>
        <w:t xml:space="preserve">Dresden, den 8. Juni 2012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der Justiz und für Europa</w:t>
      </w:r>
    </w:p>
    <w:p>
      <w:r>
        <w:t xml:space="preserve">Dr. Jürgen Martens</w:t>
      </w:r>
    </w:p>
    <w:p>
      <w:r>
        <w:rPr>
          <w:color w:val="555555"/>
          <w:sz w:val="17"/>
        </w:rPr>
        <w:t xml:space="preserve">Zitiervorschlag: Artikel 2 SN-12489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https://recht.nulegal.eu/gesetze/SN-12489/2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