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SN-12430 (Sachsen)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Sächsischen Staatsregierung</w:t>
      </w:r>
    </w:p>
    <w:p>
      <w:r>
        <w:t xml:space="preserve">zur Bestimmung der Zuständigkeiten nach dem Transparenzrichtlinie-Gesetz</w:t>
      </w:r>
    </w:p>
    <w:p>
      <w:r>
        <w:t xml:space="preserve">(Transparenzrichtlinie-Zuständigkeitsverordnung – TranspRLZuVO)</w:t>
      </w:r>
    </w:p>
    <w:p>
      <w:r>
        <w:t xml:space="preserve">Vom 15. März 2012</w:t>
      </w:r>
    </w:p>
    <w:p>
      <w:r>
        <w:t xml:space="preserve">Aufgrund von § 5 Abs. 2 Satz 1 des Gesetzes zur Umsetzung der Richtlinie 2000/52/EG der Kommission vom 26. Juli 2000 zur Änderung der Richtlinie 80/723/EWG über die Transparenz der finanziellen Beziehungen zwischen den Mitgliedstaaten und den öffentlichen Unternehmen ( Transparenzrichtlinie-Gesetz – TranspRLG ) vom 16. August 2001 (BGBl. I S. 2141), das durch Gesetz vom 21. Dezember 2006 (BGBl. I S. 3364) geändert worden ist, wird verordnet:</w:t>
      </w:r>
    </w:p>
    <w:p>
      <w:r>
        <w:rPr>
          <w:color w:val="555555"/>
          <w:sz w:val="17"/>
        </w:rPr>
        <w:t xml:space="preserve">Zitiervorschlag: Eingangsformel SN-12430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